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85" w:rsidRDefault="00126EB6" w:rsidP="00295402">
      <w:pPr>
        <w:pStyle w:val="a5"/>
        <w:ind w:left="199" w:hangingChars="71" w:hanging="199"/>
        <w:jc w:val="center"/>
        <w:rPr>
          <w:rFonts w:ascii="宋体" w:eastAsia="宋体"/>
          <w:sz w:val="28"/>
          <w:szCs w:val="28"/>
        </w:rPr>
      </w:pPr>
      <w:bookmarkStart w:id="0" w:name="_GoBack"/>
      <w:bookmarkEnd w:id="0"/>
      <w:r>
        <w:rPr>
          <w:rFonts w:ascii="宋体" w:eastAsia="宋体" w:hint="eastAsia"/>
          <w:sz w:val="28"/>
          <w:szCs w:val="28"/>
        </w:rPr>
        <w:t>临床试验的质量管理方案</w:t>
      </w:r>
    </w:p>
    <w:p w:rsidR="008F4185" w:rsidRDefault="00126EB6">
      <w:pPr>
        <w:spacing w:line="360" w:lineRule="auto"/>
        <w:ind w:firstLineChars="49" w:firstLine="137"/>
        <w:rPr>
          <w:rFonts w:asciiTheme="minorEastAsia" w:hAnsiTheme="minorEastAsia" w:cstheme="minorEastAsia"/>
          <w:szCs w:val="21"/>
        </w:rPr>
      </w:pPr>
      <w:r>
        <w:rPr>
          <w:rFonts w:asciiTheme="minorEastAsia" w:hAnsiTheme="minorEastAsia" w:cstheme="minorEastAsia" w:hint="eastAsia"/>
          <w:sz w:val="28"/>
          <w:szCs w:val="28"/>
        </w:rPr>
        <w:t>（</w:t>
      </w:r>
      <w:r>
        <w:rPr>
          <w:rFonts w:asciiTheme="minorEastAsia" w:hAnsiTheme="minorEastAsia" w:cstheme="minorEastAsia" w:hint="eastAsia"/>
          <w:szCs w:val="21"/>
        </w:rPr>
        <w:t>一）提高观测一致性措施</w:t>
      </w:r>
    </w:p>
    <w:p w:rsidR="008F4185" w:rsidRDefault="00126EB6">
      <w:pPr>
        <w:tabs>
          <w:tab w:val="left" w:pos="1560"/>
        </w:tabs>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 xml:space="preserve"> 1.</w:t>
      </w:r>
      <w:bookmarkStart w:id="1" w:name="_Toc6934"/>
      <w:r>
        <w:rPr>
          <w:rFonts w:asciiTheme="minorEastAsia" w:hAnsiTheme="minorEastAsia" w:cstheme="minorEastAsia" w:hint="eastAsia"/>
          <w:szCs w:val="21"/>
        </w:rPr>
        <w:t>参与本次临床试验的试验机构是经资质认定的医疗器械临床试验机构，且设施和条件满足安全有效地进行临床试验的需要。研究项目所在科的人员配备以及设备条件等符合试验要求，参加研究人员具有试验用医疗器械所要求的专业知识和经验。</w:t>
      </w:r>
      <w:bookmarkEnd w:id="1"/>
    </w:p>
    <w:p w:rsidR="008F4185" w:rsidRDefault="00126EB6">
      <w:pPr>
        <w:tabs>
          <w:tab w:val="left" w:pos="1560"/>
        </w:tabs>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2.门诊病例应严格控制可变因素。</w:t>
      </w:r>
    </w:p>
    <w:p w:rsidR="008F4185" w:rsidRDefault="00126EB6">
      <w:pPr>
        <w:tabs>
          <w:tab w:val="left" w:pos="1560"/>
        </w:tabs>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 3.通过临床试验前培训，使研究人员对于临床试验方案及其各指标具体内涵有充分理解和认识，以提高临床研究资料收集者的内部观察一致性和观察者间一致性，保证临床研究结论的可靠性。</w:t>
      </w:r>
    </w:p>
    <w:p w:rsidR="008F4185" w:rsidRDefault="00126EB6">
      <w:pPr>
        <w:tabs>
          <w:tab w:val="left" w:pos="1560"/>
        </w:tabs>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4.对于自觉症状的描述应当客观，切勿诱导或提示；对于所规定的客观指标，应当按方案规定的时间和方法进行检查。应注意观察不良反应或未预料到的副作用，并追踪观察。</w:t>
      </w:r>
    </w:p>
    <w:p w:rsidR="008F4185" w:rsidRDefault="00126EB6">
      <w:pPr>
        <w:tabs>
          <w:tab w:val="left" w:pos="1560"/>
        </w:tabs>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 5.对显著偏离可接受范围以外的数据须加以核实，由研究者作必要的说明。</w:t>
      </w:r>
    </w:p>
    <w:p w:rsidR="008F4185" w:rsidRDefault="00126EB6">
      <w:pPr>
        <w:tabs>
          <w:tab w:val="left" w:pos="1560"/>
        </w:tabs>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 6.汉密尔顿抑郁评分量表的评定，至少应由一名主治医师和一名医师分别独立做出，临床病例报告表填写者应具有医师及其以上职称。</w:t>
      </w:r>
    </w:p>
    <w:p w:rsidR="008F4185" w:rsidRDefault="00126EB6">
      <w:pPr>
        <w:tabs>
          <w:tab w:val="left" w:pos="1560"/>
        </w:tabs>
        <w:spacing w:line="360" w:lineRule="auto"/>
        <w:ind w:firstLineChars="100" w:firstLine="210"/>
        <w:rPr>
          <w:rFonts w:asciiTheme="minorEastAsia" w:hAnsiTheme="minorEastAsia" w:cstheme="minorEastAsia"/>
          <w:szCs w:val="21"/>
        </w:rPr>
      </w:pPr>
      <w:r>
        <w:rPr>
          <w:rFonts w:asciiTheme="minorEastAsia" w:hAnsiTheme="minorEastAsia" w:cstheme="minorEastAsia" w:hint="eastAsia"/>
          <w:szCs w:val="21"/>
        </w:rPr>
        <w:t xml:space="preserve">  7.各临床研究单位应指定专人，定期检查临床试验进展情况，认真核实数据与记录。</w:t>
      </w:r>
    </w:p>
    <w:p w:rsidR="008F4185" w:rsidRDefault="00126EB6">
      <w:pPr>
        <w:tabs>
          <w:tab w:val="left" w:pos="1560"/>
        </w:tabs>
        <w:spacing w:line="360" w:lineRule="auto"/>
        <w:rPr>
          <w:rFonts w:asciiTheme="minorEastAsia" w:hAnsiTheme="minorEastAsia" w:cstheme="minorEastAsia"/>
          <w:szCs w:val="21"/>
        </w:rPr>
      </w:pPr>
      <w:r>
        <w:rPr>
          <w:rFonts w:asciiTheme="minorEastAsia" w:hAnsiTheme="minorEastAsia" w:cstheme="minorEastAsia" w:hint="eastAsia"/>
          <w:szCs w:val="21"/>
        </w:rPr>
        <w:t>（二）保证受试者依从性的措施</w:t>
      </w:r>
    </w:p>
    <w:p w:rsidR="008F4185" w:rsidRDefault="00126EB6">
      <w:pPr>
        <w:tabs>
          <w:tab w:val="left" w:pos="-6510"/>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对受试者情况应从以下几方面严格控制可变因素：</w:t>
      </w:r>
    </w:p>
    <w:p w:rsidR="008F4185" w:rsidRDefault="00126EB6">
      <w:pPr>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 xml:space="preserve">  1.参加临床试验的医生固定；</w:t>
      </w:r>
    </w:p>
    <w:p w:rsidR="008F4185" w:rsidRDefault="00126EB6">
      <w:pPr>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 xml:space="preserve">  2.研究者应耐心向受试者做好知情同意说明，使其明白试验研究的过程和在其过程中须配合的义务，从而积极配合试验。</w:t>
      </w:r>
    </w:p>
    <w:p w:rsidR="008F4185" w:rsidRDefault="00126EB6">
      <w:pPr>
        <w:spacing w:line="360" w:lineRule="auto"/>
        <w:ind w:firstLineChars="150" w:firstLine="315"/>
        <w:rPr>
          <w:rFonts w:asciiTheme="minorEastAsia" w:hAnsiTheme="minorEastAsia" w:cstheme="minorEastAsia"/>
          <w:szCs w:val="21"/>
        </w:rPr>
      </w:pPr>
      <w:r>
        <w:rPr>
          <w:rFonts w:asciiTheme="minorEastAsia" w:hAnsiTheme="minorEastAsia" w:cstheme="minorEastAsia" w:hint="eastAsia"/>
          <w:szCs w:val="21"/>
        </w:rPr>
        <w:t xml:space="preserve">  3.对未按照要求诊断的原因要详细记录。</w:t>
      </w:r>
    </w:p>
    <w:p w:rsidR="008F4185" w:rsidRDefault="00126EB6">
      <w:pPr>
        <w:pStyle w:val="a5"/>
        <w:spacing w:line="360" w:lineRule="auto"/>
        <w:ind w:left="0" w:firstLineChars="0" w:firstLine="0"/>
        <w:rPr>
          <w:rFonts w:asciiTheme="minorEastAsia" w:eastAsiaTheme="minorEastAsia" w:hAnsiTheme="minorEastAsia" w:cstheme="minorEastAsia"/>
          <w:color w:val="auto"/>
          <w:kern w:val="2"/>
          <w:sz w:val="21"/>
          <w:szCs w:val="21"/>
        </w:rPr>
      </w:pPr>
      <w:bookmarkStart w:id="2" w:name="_Toc8400"/>
      <w:bookmarkStart w:id="3" w:name="_Toc25035"/>
      <w:r>
        <w:rPr>
          <w:rFonts w:asciiTheme="minorEastAsia" w:eastAsiaTheme="minorEastAsia" w:hAnsiTheme="minorEastAsia" w:cstheme="minorEastAsia" w:hint="eastAsia"/>
          <w:color w:val="auto"/>
          <w:kern w:val="2"/>
          <w:sz w:val="21"/>
          <w:szCs w:val="21"/>
        </w:rPr>
        <w:t>（三）临床试验的监查</w:t>
      </w:r>
    </w:p>
    <w:p w:rsidR="008F4185" w:rsidRDefault="00126EB6">
      <w:pPr>
        <w:pStyle w:val="a5"/>
        <w:spacing w:line="360" w:lineRule="auto"/>
        <w:ind w:left="0" w:firstLineChars="200" w:firstLine="420"/>
        <w:rPr>
          <w:rFonts w:asciiTheme="minorEastAsia" w:eastAsiaTheme="minorEastAsia" w:hAnsiTheme="minorEastAsia" w:cstheme="minorEastAsia"/>
          <w:color w:val="auto"/>
          <w:kern w:val="2"/>
          <w:sz w:val="21"/>
          <w:szCs w:val="21"/>
        </w:rPr>
      </w:pPr>
      <w:r>
        <w:rPr>
          <w:rFonts w:asciiTheme="minorEastAsia" w:eastAsiaTheme="minorEastAsia" w:hAnsiTheme="minorEastAsia" w:cstheme="minorEastAsia" w:hint="eastAsia"/>
          <w:color w:val="auto"/>
          <w:kern w:val="2"/>
          <w:sz w:val="21"/>
          <w:szCs w:val="21"/>
        </w:rPr>
        <w:t>由申办者任命合格的监查员，在试验前、中、后期定期进行监查，以保证研究方案的所有内容都得到严格遵守，并对原始资料进行检查，以确保与 CRF 上的内容一致。</w:t>
      </w:r>
      <w:bookmarkEnd w:id="2"/>
      <w:bookmarkEnd w:id="3"/>
    </w:p>
    <w:p w:rsidR="008F4185" w:rsidRDefault="00126EB6">
      <w:pPr>
        <w:tabs>
          <w:tab w:val="left" w:pos="720"/>
        </w:tabs>
        <w:spacing w:line="360" w:lineRule="auto"/>
        <w:ind w:firstLineChars="200" w:firstLine="420"/>
        <w:rPr>
          <w:rFonts w:ascii="宋体" w:hAnsi="宋体"/>
          <w:szCs w:val="21"/>
        </w:rPr>
      </w:pPr>
      <w:r>
        <w:rPr>
          <w:rFonts w:asciiTheme="minorEastAsia" w:hAnsiTheme="minorEastAsia" w:cstheme="minorEastAsia" w:hint="eastAsia"/>
          <w:szCs w:val="21"/>
        </w:rPr>
        <w:t>（四）</w:t>
      </w:r>
      <w:r>
        <w:rPr>
          <w:rFonts w:ascii="宋体" w:hAnsi="宋体" w:hint="eastAsia"/>
          <w:szCs w:val="21"/>
        </w:rPr>
        <w:t>研究者应按病例报告表填写要求，如实、详细、认真记录各项内容，以确保病例报告表内容完整、真实、可靠。临床试验中所有观察结果和发现都应加以核实，以保证数据的可靠性，确保临床试验中各结论来源于原始数据。在临床试验和数据处理阶段均有相应的数据管理措施。</w:t>
      </w:r>
    </w:p>
    <w:p w:rsidR="00295402" w:rsidRDefault="00295402">
      <w:pPr>
        <w:rPr>
          <w:rFonts w:asciiTheme="minorEastAsia" w:hAnsiTheme="minorEastAsia" w:cstheme="minorEastAsia"/>
          <w:szCs w:val="21"/>
        </w:rPr>
      </w:pPr>
    </w:p>
    <w:sectPr w:rsidR="00295402" w:rsidSect="008F41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F9" w:rsidRDefault="00FC5DF9" w:rsidP="008F4185">
      <w:r>
        <w:separator/>
      </w:r>
    </w:p>
  </w:endnote>
  <w:endnote w:type="continuationSeparator" w:id="0">
    <w:p w:rsidR="00FC5DF9" w:rsidRDefault="00FC5DF9" w:rsidP="008F4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85" w:rsidRDefault="00156BD6" w:rsidP="00156BD6">
    <w:pPr>
      <w:pStyle w:val="a3"/>
      <w:pBdr>
        <w:top w:val="single" w:sz="18" w:space="1" w:color="auto"/>
      </w:pBdr>
      <w:jc w:val="center"/>
    </w:pPr>
    <w:r>
      <w:rPr>
        <w:rFonts w:hint="eastAsia"/>
      </w:rPr>
      <w:t>临床</w:t>
    </w:r>
    <w:r w:rsidR="00B04358">
      <w:rPr>
        <w:rFonts w:hint="eastAsia"/>
      </w:rPr>
      <w:t>试验</w:t>
    </w:r>
    <w:r w:rsidR="001978E9">
      <w:rPr>
        <w:rFonts w:hint="eastAsia"/>
      </w:rPr>
      <w:t>的</w:t>
    </w:r>
    <w:r>
      <w:rPr>
        <w:rFonts w:hint="eastAsia"/>
      </w:rPr>
      <w:t>质量管理方案</w:t>
    </w:r>
    <w:r>
      <w:rPr>
        <w:rFonts w:hint="eastAsia"/>
      </w:rPr>
      <w:t xml:space="preserve">          </w:t>
    </w:r>
    <w:r>
      <w:rPr>
        <w:rFonts w:hint="eastAsia"/>
      </w:rPr>
      <w:t>第</w:t>
    </w:r>
    <w:r w:rsidR="00284F46">
      <w:rPr>
        <w:rFonts w:hint="eastAsia"/>
      </w:rPr>
      <w:t>1</w:t>
    </w:r>
    <w:r>
      <w:rPr>
        <w:rFonts w:hint="eastAsia"/>
      </w:rPr>
      <w:t>页共</w:t>
    </w:r>
    <w:r w:rsidR="00295402">
      <w:rPr>
        <w:rFonts w:hint="eastAsia"/>
      </w:rPr>
      <w:t>1</w:t>
    </w:r>
    <w:r>
      <w:rPr>
        <w:rFonts w:hint="eastAsia"/>
      </w:rPr>
      <w:t>页</w:t>
    </w:r>
    <w:r>
      <w:rPr>
        <w:rFonts w:hint="eastAsia"/>
      </w:rPr>
      <w:t xml:space="preserve">         </w:t>
    </w:r>
    <w:r>
      <w:rPr>
        <w:rFonts w:hint="eastAsia"/>
      </w:rPr>
      <w:t>版本号：第一版</w:t>
    </w:r>
    <w:r>
      <w:rPr>
        <w:rFonts w:hint="eastAsia"/>
      </w:rPr>
      <w:t xml:space="preserve"> </w:t>
    </w:r>
    <w:r>
      <w:rPr>
        <w:rFonts w:hint="eastAsia"/>
      </w:rPr>
      <w:t>日期：</w:t>
    </w:r>
    <w:r>
      <w:rPr>
        <w:rFonts w:hint="eastAsia"/>
      </w:rPr>
      <w:t>2017</w:t>
    </w:r>
    <w:r>
      <w:rPr>
        <w:rFonts w:hint="eastAsia"/>
      </w:rPr>
      <w:t>年</w:t>
    </w:r>
    <w:r>
      <w:rPr>
        <w:rFonts w:hint="eastAsia"/>
      </w:rPr>
      <w:t>8</w:t>
    </w:r>
    <w:r>
      <w:rPr>
        <w:rFonts w:hint="eastAsia"/>
      </w:rPr>
      <w:t>月</w:t>
    </w:r>
    <w:r>
      <w:rPr>
        <w:rFonts w:hint="eastAsia"/>
      </w:rPr>
      <w:t>9</w:t>
    </w:r>
    <w:r>
      <w:rPr>
        <w:rFonts w:hint="eastAsia"/>
      </w:rPr>
      <w:t>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F9" w:rsidRDefault="00FC5DF9" w:rsidP="008F4185">
      <w:r>
        <w:separator/>
      </w:r>
    </w:p>
  </w:footnote>
  <w:footnote w:type="continuationSeparator" w:id="0">
    <w:p w:rsidR="00FC5DF9" w:rsidRDefault="00FC5DF9" w:rsidP="008F4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185"/>
    <w:rsid w:val="0003165F"/>
    <w:rsid w:val="00126EB6"/>
    <w:rsid w:val="00156BD6"/>
    <w:rsid w:val="001978E9"/>
    <w:rsid w:val="00284F46"/>
    <w:rsid w:val="00295402"/>
    <w:rsid w:val="005D1C6F"/>
    <w:rsid w:val="00690E3C"/>
    <w:rsid w:val="008F4185"/>
    <w:rsid w:val="00B04358"/>
    <w:rsid w:val="00C873B1"/>
    <w:rsid w:val="00E03C0B"/>
    <w:rsid w:val="00E56AD9"/>
    <w:rsid w:val="00FC5DF9"/>
    <w:rsid w:val="5F192C1F"/>
    <w:rsid w:val="6E29638F"/>
    <w:rsid w:val="70A90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1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4185"/>
    <w:pPr>
      <w:tabs>
        <w:tab w:val="center" w:pos="4153"/>
        <w:tab w:val="right" w:pos="8306"/>
      </w:tabs>
      <w:snapToGrid w:val="0"/>
      <w:jc w:val="left"/>
    </w:pPr>
    <w:rPr>
      <w:sz w:val="18"/>
    </w:rPr>
  </w:style>
  <w:style w:type="paragraph" w:styleId="a4">
    <w:name w:val="header"/>
    <w:basedOn w:val="a"/>
    <w:rsid w:val="008F41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w:basedOn w:val="a"/>
    <w:qFormat/>
    <w:rsid w:val="008F4185"/>
    <w:pPr>
      <w:ind w:left="200" w:hangingChars="200" w:hanging="200"/>
    </w:pPr>
    <w:rPr>
      <w:rFonts w:ascii="仿宋_GB2312" w:eastAsia="仿宋_GB2312" w:hAnsi="宋体" w:cs="宋体"/>
      <w:color w:val="000000"/>
      <w:kern w:val="0"/>
      <w:sz w:val="30"/>
      <w:szCs w:val="30"/>
    </w:rPr>
  </w:style>
  <w:style w:type="table" w:styleId="a6">
    <w:name w:val="Table Grid"/>
    <w:basedOn w:val="a1"/>
    <w:rsid w:val="008F41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yuguangxia</dc:creator>
  <cp:lastModifiedBy>Administrator</cp:lastModifiedBy>
  <cp:revision>7</cp:revision>
  <cp:lastPrinted>2017-11-08T14:03:00Z</cp:lastPrinted>
  <dcterms:created xsi:type="dcterms:W3CDTF">2014-10-29T12:08:00Z</dcterms:created>
  <dcterms:modified xsi:type="dcterms:W3CDTF">2017-11-08T14:19:00Z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